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3DC" w:rsidRPr="006953DC" w:rsidRDefault="00606D05" w:rsidP="008D1374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W</w:t>
      </w:r>
      <w:r w:rsidR="006953DC" w:rsidRPr="006953DC">
        <w:rPr>
          <w:rFonts w:ascii="Garamond" w:hAnsi="Garamond"/>
          <w:b/>
          <w:sz w:val="28"/>
          <w:szCs w:val="28"/>
        </w:rPr>
        <w:t>ystawa</w:t>
      </w:r>
      <w:r w:rsidR="006E6D2A" w:rsidRPr="006953DC">
        <w:rPr>
          <w:rFonts w:ascii="Garamond" w:hAnsi="Garamond"/>
          <w:b/>
          <w:sz w:val="28"/>
          <w:szCs w:val="28"/>
        </w:rPr>
        <w:t xml:space="preserve"> </w:t>
      </w:r>
      <w:r w:rsidRPr="006953DC">
        <w:rPr>
          <w:rFonts w:ascii="Garamond" w:hAnsi="Garamond"/>
          <w:b/>
          <w:i/>
          <w:sz w:val="28"/>
          <w:szCs w:val="28"/>
        </w:rPr>
        <w:t>W kręgu Albrechta Dürera – w 555. rocznicę urodzin artysty</w:t>
      </w:r>
    </w:p>
    <w:p w:rsidR="006953DC" w:rsidRPr="006953DC" w:rsidRDefault="006953DC" w:rsidP="008D1374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1 września – 31 października 2026</w:t>
      </w:r>
    </w:p>
    <w:p w:rsidR="006953DC" w:rsidRPr="006953DC" w:rsidRDefault="006953DC" w:rsidP="008D1374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Muzeum Historyczne</w:t>
      </w:r>
      <w:r w:rsidR="00507B10" w:rsidRPr="006953DC">
        <w:rPr>
          <w:rFonts w:ascii="Garamond" w:hAnsi="Garamond"/>
          <w:b/>
          <w:sz w:val="28"/>
          <w:szCs w:val="28"/>
        </w:rPr>
        <w:t xml:space="preserve"> w Bielsku-Białej </w:t>
      </w:r>
    </w:p>
    <w:p w:rsidR="006953DC" w:rsidRDefault="006953DC" w:rsidP="008D1374">
      <w:pPr>
        <w:jc w:val="both"/>
        <w:rPr>
          <w:rFonts w:ascii="Garamond" w:hAnsi="Garamond"/>
          <w:sz w:val="28"/>
          <w:szCs w:val="28"/>
        </w:rPr>
      </w:pPr>
      <w:bookmarkStart w:id="0" w:name="_GoBack"/>
      <w:bookmarkEnd w:id="0"/>
    </w:p>
    <w:p w:rsidR="00606D05" w:rsidRDefault="006953DC" w:rsidP="008D1374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Na wystawie prezentujemy</w:t>
      </w:r>
      <w:r w:rsidR="00606D05">
        <w:rPr>
          <w:rFonts w:ascii="Garamond" w:hAnsi="Garamond"/>
          <w:sz w:val="28"/>
          <w:szCs w:val="28"/>
        </w:rPr>
        <w:t xml:space="preserve"> ryciny, ekslibrisy, reprodukcje</w:t>
      </w:r>
      <w:r w:rsidR="00507B10">
        <w:rPr>
          <w:rFonts w:ascii="Garamond" w:hAnsi="Garamond"/>
          <w:sz w:val="28"/>
          <w:szCs w:val="28"/>
        </w:rPr>
        <w:t xml:space="preserve"> rysunków</w:t>
      </w:r>
      <w:r w:rsidR="00606D05">
        <w:rPr>
          <w:rFonts w:ascii="Garamond" w:hAnsi="Garamond"/>
          <w:sz w:val="28"/>
          <w:szCs w:val="28"/>
        </w:rPr>
        <w:t xml:space="preserve">, karty pocztowe i książki </w:t>
      </w:r>
      <w:r w:rsidR="00606D05" w:rsidRPr="006953DC">
        <w:rPr>
          <w:rFonts w:ascii="Garamond" w:hAnsi="Garamond"/>
          <w:b/>
          <w:sz w:val="28"/>
          <w:szCs w:val="28"/>
        </w:rPr>
        <w:t xml:space="preserve">ze zbiorów Biblioteki Naukowej Polskiej Akademii Umiejętności </w:t>
      </w:r>
      <w:r w:rsidR="002411D3">
        <w:rPr>
          <w:rFonts w:ascii="Garamond" w:hAnsi="Garamond"/>
          <w:b/>
          <w:sz w:val="28"/>
          <w:szCs w:val="28"/>
        </w:rPr>
        <w:br/>
      </w:r>
      <w:r w:rsidR="00606D05" w:rsidRPr="006953DC">
        <w:rPr>
          <w:rFonts w:ascii="Garamond" w:hAnsi="Garamond"/>
          <w:b/>
          <w:sz w:val="28"/>
          <w:szCs w:val="28"/>
        </w:rPr>
        <w:t>i Polskiej Akademii Nauk w Krakowie, Muzeum</w:t>
      </w:r>
      <w:r>
        <w:rPr>
          <w:rFonts w:ascii="Garamond" w:hAnsi="Garamond"/>
          <w:b/>
          <w:sz w:val="28"/>
          <w:szCs w:val="28"/>
        </w:rPr>
        <w:t xml:space="preserve"> Historycznego w Bielsku-Białej </w:t>
      </w:r>
      <w:r w:rsidR="00606D05" w:rsidRPr="006953DC">
        <w:rPr>
          <w:rFonts w:ascii="Garamond" w:hAnsi="Garamond"/>
          <w:b/>
          <w:sz w:val="28"/>
          <w:szCs w:val="28"/>
        </w:rPr>
        <w:t>oraz</w:t>
      </w:r>
      <w:r>
        <w:rPr>
          <w:rFonts w:ascii="Garamond" w:hAnsi="Garamond"/>
          <w:b/>
          <w:sz w:val="28"/>
          <w:szCs w:val="28"/>
        </w:rPr>
        <w:t xml:space="preserve"> </w:t>
      </w:r>
      <w:r w:rsidR="00606D05" w:rsidRPr="006953DC">
        <w:rPr>
          <w:rFonts w:ascii="Garamond" w:hAnsi="Garamond"/>
          <w:b/>
          <w:sz w:val="28"/>
          <w:szCs w:val="28"/>
        </w:rPr>
        <w:t>z kolekcji prywatnych</w:t>
      </w:r>
      <w:r w:rsidR="00606D05">
        <w:rPr>
          <w:rFonts w:ascii="Garamond" w:hAnsi="Garamond"/>
          <w:sz w:val="28"/>
          <w:szCs w:val="28"/>
        </w:rPr>
        <w:t>. Eksponujemy 37 obiektów.</w:t>
      </w:r>
    </w:p>
    <w:p w:rsidR="00606D05" w:rsidRDefault="00606D05" w:rsidP="008D1374">
      <w:pPr>
        <w:jc w:val="both"/>
        <w:rPr>
          <w:rFonts w:ascii="Garamond" w:hAnsi="Garamond"/>
          <w:sz w:val="28"/>
          <w:szCs w:val="28"/>
        </w:rPr>
      </w:pPr>
    </w:p>
    <w:p w:rsidR="00606D05" w:rsidRDefault="00606D05" w:rsidP="008D1374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Muzeum Historyczne w Bielsku-Białej posiada w swoich zbiorach trzy prace inspirowane </w:t>
      </w:r>
      <w:r w:rsidR="00543FF3">
        <w:rPr>
          <w:rFonts w:ascii="Garamond" w:hAnsi="Garamond"/>
          <w:sz w:val="28"/>
          <w:szCs w:val="28"/>
        </w:rPr>
        <w:t xml:space="preserve">twórczością </w:t>
      </w:r>
      <w:r w:rsidR="00543FF3" w:rsidRPr="00606D05">
        <w:rPr>
          <w:rFonts w:ascii="Garamond" w:hAnsi="Garamond"/>
          <w:sz w:val="28"/>
          <w:szCs w:val="28"/>
        </w:rPr>
        <w:t>Dürera</w:t>
      </w:r>
      <w:r w:rsidR="00543FF3">
        <w:rPr>
          <w:rFonts w:ascii="Garamond" w:hAnsi="Garamond"/>
          <w:sz w:val="28"/>
          <w:szCs w:val="28"/>
        </w:rPr>
        <w:t>: grafiki Wil</w:t>
      </w:r>
      <w:r w:rsidR="00507B10">
        <w:rPr>
          <w:rFonts w:ascii="Garamond" w:hAnsi="Garamond"/>
          <w:sz w:val="28"/>
          <w:szCs w:val="28"/>
        </w:rPr>
        <w:t>liama Ungera i Victora Jaspera, artystów</w:t>
      </w:r>
      <w:r w:rsidR="006E6D2A">
        <w:rPr>
          <w:rFonts w:ascii="Garamond" w:hAnsi="Garamond"/>
          <w:sz w:val="28"/>
          <w:szCs w:val="28"/>
        </w:rPr>
        <w:t xml:space="preserve"> </w:t>
      </w:r>
      <w:r w:rsidR="00543FF3">
        <w:rPr>
          <w:rFonts w:ascii="Garamond" w:hAnsi="Garamond"/>
          <w:sz w:val="28"/>
          <w:szCs w:val="28"/>
        </w:rPr>
        <w:t xml:space="preserve"> tworzących na przełomie XIX i XX wieku.</w:t>
      </w:r>
    </w:p>
    <w:p w:rsidR="00543FF3" w:rsidRDefault="00543FF3" w:rsidP="008D1374">
      <w:pPr>
        <w:jc w:val="both"/>
        <w:rPr>
          <w:rFonts w:ascii="Garamond" w:eastAsia="Times New Roman" w:hAnsi="Garamond" w:cs="Times New Roman"/>
          <w:iCs/>
          <w:sz w:val="28"/>
          <w:szCs w:val="28"/>
          <w:lang w:eastAsia="pl-PL"/>
        </w:rPr>
      </w:pPr>
      <w:r>
        <w:rPr>
          <w:rFonts w:ascii="Garamond" w:hAnsi="Garamond"/>
          <w:sz w:val="28"/>
          <w:szCs w:val="28"/>
        </w:rPr>
        <w:t xml:space="preserve">Biblioteka Naukowa PAU i PAN w Krakowie użyczyła ze swej przebogatej kolekcji rycin sześć oryginalnych prac </w:t>
      </w:r>
      <w:r w:rsidRPr="00606D05">
        <w:rPr>
          <w:rFonts w:ascii="Garamond" w:hAnsi="Garamond"/>
          <w:sz w:val="28"/>
          <w:szCs w:val="28"/>
        </w:rPr>
        <w:t>Albrechta Dürera</w:t>
      </w:r>
      <w:r w:rsidR="00DB7B20">
        <w:rPr>
          <w:rFonts w:ascii="Garamond" w:hAnsi="Garamond"/>
          <w:sz w:val="28"/>
          <w:szCs w:val="28"/>
        </w:rPr>
        <w:t>. Są to: cztery</w:t>
      </w:r>
      <w:r>
        <w:rPr>
          <w:rFonts w:ascii="Garamond" w:hAnsi="Garamond"/>
          <w:sz w:val="28"/>
          <w:szCs w:val="28"/>
        </w:rPr>
        <w:t xml:space="preserve"> drzeworyty </w:t>
      </w:r>
      <w:r w:rsidRPr="00606D05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Ostatnia Wieczerza</w:t>
      </w:r>
      <w:r w:rsidRPr="00A65527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, z cyku </w:t>
      </w:r>
      <w:r w:rsidRPr="00A65527">
        <w:rPr>
          <w:rFonts w:ascii="Garamond" w:eastAsia="Times New Roman" w:hAnsi="Garamond" w:cs="Times New Roman"/>
          <w:i/>
          <w:sz w:val="28"/>
          <w:szCs w:val="28"/>
          <w:lang w:eastAsia="pl-PL"/>
        </w:rPr>
        <w:t>Duża Pasja</w:t>
      </w:r>
      <w:r>
        <w:rPr>
          <w:rFonts w:ascii="Garamond" w:eastAsia="Times New Roman" w:hAnsi="Garamond" w:cs="Times New Roman"/>
          <w:i/>
          <w:sz w:val="28"/>
          <w:szCs w:val="28"/>
          <w:lang w:eastAsia="pl-PL"/>
        </w:rPr>
        <w:t xml:space="preserve"> </w:t>
      </w:r>
      <w:r w:rsidR="008D1374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(wydanie późne, 1511), </w:t>
      </w:r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 xml:space="preserve">Św. Weronika między </w:t>
      </w:r>
      <w:proofErr w:type="spellStart"/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śś</w:t>
      </w:r>
      <w:proofErr w:type="spellEnd"/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 xml:space="preserve">. Piotrem </w:t>
      </w:r>
      <w:r w:rsidR="008D1374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br/>
      </w:r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i Pawłem</w:t>
      </w:r>
      <w:r w:rsidRPr="00A65527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, z cyklu </w:t>
      </w:r>
      <w:r w:rsidRPr="00A65527">
        <w:rPr>
          <w:rFonts w:ascii="Garamond" w:eastAsia="Times New Roman" w:hAnsi="Garamond" w:cs="Times New Roman"/>
          <w:i/>
          <w:sz w:val="28"/>
          <w:szCs w:val="28"/>
          <w:lang w:eastAsia="pl-PL"/>
        </w:rPr>
        <w:t>Mała Pasja</w:t>
      </w:r>
      <w:r w:rsidR="00DB7B20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, 1510, </w:t>
      </w:r>
      <w:r w:rsidR="00DB7B20"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 xml:space="preserve">Ekslibris Wilibalda </w:t>
      </w:r>
      <w:proofErr w:type="spellStart"/>
      <w:r w:rsidR="00DB7B20"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Pirckheimera</w:t>
      </w:r>
      <w:proofErr w:type="spellEnd"/>
      <w:r w:rsidR="00DB7B20" w:rsidRPr="00A65527">
        <w:rPr>
          <w:rFonts w:ascii="Garamond" w:eastAsia="Times New Roman" w:hAnsi="Garamond" w:cs="Times New Roman"/>
          <w:sz w:val="28"/>
          <w:szCs w:val="28"/>
          <w:lang w:eastAsia="pl-PL"/>
        </w:rPr>
        <w:t>, ok. 1501; wydanie późne,</w:t>
      </w:r>
      <w:r w:rsidR="008D1374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ok. 1600 oraz</w:t>
      </w:r>
      <w:r w:rsidR="00DB7B20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</w:t>
      </w:r>
      <w:r w:rsidR="00DB7B20"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Hołd Trzech Króli</w:t>
      </w:r>
      <w:r w:rsidR="00DB7B20" w:rsidRPr="00A65527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, z cyklu </w:t>
      </w:r>
      <w:r w:rsidR="00DB7B20" w:rsidRPr="00A65527">
        <w:rPr>
          <w:rFonts w:ascii="Garamond" w:eastAsia="Times New Roman" w:hAnsi="Garamond" w:cs="Times New Roman"/>
          <w:i/>
          <w:sz w:val="28"/>
          <w:szCs w:val="28"/>
          <w:lang w:eastAsia="pl-PL"/>
        </w:rPr>
        <w:t>Życie Marii</w:t>
      </w:r>
      <w:r w:rsidR="00DB7B20" w:rsidRPr="00A65527">
        <w:rPr>
          <w:rFonts w:ascii="Garamond" w:eastAsia="Times New Roman" w:hAnsi="Garamond" w:cs="Times New Roman"/>
          <w:sz w:val="28"/>
          <w:szCs w:val="28"/>
          <w:lang w:eastAsia="pl-PL"/>
        </w:rPr>
        <w:t>,</w:t>
      </w:r>
      <w:r w:rsidR="00DB7B20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ok. 1503. Pozostałe dwa</w:t>
      </w:r>
      <w:r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to miedzioryty </w:t>
      </w:r>
      <w:r w:rsidRPr="00606D05">
        <w:rPr>
          <w:rFonts w:ascii="Garamond" w:hAnsi="Garamond"/>
          <w:sz w:val="28"/>
          <w:szCs w:val="28"/>
        </w:rPr>
        <w:t>–</w:t>
      </w:r>
      <w:r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</w:t>
      </w:r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Św. Hieronim pokutujący</w:t>
      </w:r>
      <w:r w:rsidRPr="00A65527">
        <w:rPr>
          <w:rFonts w:ascii="Garamond" w:eastAsia="Times New Roman" w:hAnsi="Garamond" w:cs="Times New Roman"/>
          <w:sz w:val="28"/>
          <w:szCs w:val="28"/>
          <w:lang w:eastAsia="pl-PL"/>
        </w:rPr>
        <w:t>, 1496</w:t>
      </w:r>
      <w:r w:rsidR="00DB7B20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i </w:t>
      </w:r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Cztery czarownice,</w:t>
      </w:r>
      <w:r w:rsidRPr="00A65527">
        <w:rPr>
          <w:rFonts w:ascii="Garamond" w:eastAsia="Times New Roman" w:hAnsi="Garamond" w:cs="Times New Roman"/>
          <w:iCs/>
          <w:sz w:val="28"/>
          <w:szCs w:val="28"/>
          <w:lang w:eastAsia="pl-PL"/>
        </w:rPr>
        <w:t xml:space="preserve"> 1497</w:t>
      </w:r>
      <w:r w:rsidR="00DB7B20">
        <w:rPr>
          <w:rFonts w:ascii="Garamond" w:eastAsia="Times New Roman" w:hAnsi="Garamond" w:cs="Times New Roman"/>
          <w:iCs/>
          <w:sz w:val="28"/>
          <w:szCs w:val="28"/>
          <w:lang w:eastAsia="pl-PL"/>
        </w:rPr>
        <w:t xml:space="preserve">. </w:t>
      </w:r>
    </w:p>
    <w:p w:rsidR="00AB4C4C" w:rsidRDefault="00507B10" w:rsidP="008D1374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eastAsia="Times New Roman" w:hAnsi="Garamond" w:cs="Times New Roman"/>
          <w:iCs/>
          <w:sz w:val="28"/>
          <w:szCs w:val="28"/>
          <w:lang w:eastAsia="pl-PL"/>
        </w:rPr>
        <w:t xml:space="preserve">Spośród eksponatów z kolekcji prywatnych na uwagę zasługują szczególnie dwa: </w:t>
      </w:r>
      <w:r w:rsidRPr="00A65527">
        <w:rPr>
          <w:rFonts w:ascii="Garamond" w:hAnsi="Garamond"/>
          <w:sz w:val="28"/>
          <w:szCs w:val="28"/>
        </w:rPr>
        <w:t>miedzio</w:t>
      </w:r>
      <w:r>
        <w:rPr>
          <w:rFonts w:ascii="Garamond" w:hAnsi="Garamond"/>
          <w:sz w:val="28"/>
          <w:szCs w:val="28"/>
        </w:rPr>
        <w:t>ryt</w:t>
      </w:r>
      <w:r w:rsidRPr="00A65527">
        <w:rPr>
          <w:rFonts w:ascii="Garamond" w:hAnsi="Garamond"/>
          <w:sz w:val="28"/>
          <w:szCs w:val="28"/>
        </w:rPr>
        <w:t xml:space="preserve"> </w:t>
      </w:r>
      <w:proofErr w:type="spellStart"/>
      <w:r w:rsidRPr="00A65527">
        <w:rPr>
          <w:rFonts w:ascii="Garamond" w:hAnsi="Garamond"/>
          <w:sz w:val="28"/>
          <w:szCs w:val="28"/>
        </w:rPr>
        <w:t>Marcantonio</w:t>
      </w:r>
      <w:proofErr w:type="spellEnd"/>
      <w:r w:rsidRPr="00A65527">
        <w:rPr>
          <w:rFonts w:ascii="Garamond" w:hAnsi="Garamond"/>
          <w:sz w:val="28"/>
          <w:szCs w:val="28"/>
        </w:rPr>
        <w:t xml:space="preserve"> </w:t>
      </w:r>
      <w:proofErr w:type="spellStart"/>
      <w:r w:rsidRPr="00A65527">
        <w:rPr>
          <w:rFonts w:ascii="Garamond" w:hAnsi="Garamond"/>
          <w:sz w:val="28"/>
          <w:szCs w:val="28"/>
        </w:rPr>
        <w:t>Raimondi</w:t>
      </w:r>
      <w:r>
        <w:rPr>
          <w:rFonts w:ascii="Garamond" w:hAnsi="Garamond"/>
          <w:sz w:val="28"/>
          <w:szCs w:val="28"/>
        </w:rPr>
        <w:t>ego</w:t>
      </w:r>
      <w:proofErr w:type="spellEnd"/>
      <w:r w:rsidRPr="00A65527">
        <w:rPr>
          <w:rFonts w:ascii="Garamond" w:hAnsi="Garamond"/>
          <w:sz w:val="28"/>
          <w:szCs w:val="28"/>
        </w:rPr>
        <w:t xml:space="preserve">, </w:t>
      </w:r>
      <w:r w:rsidRPr="00A65527">
        <w:rPr>
          <w:rFonts w:ascii="Garamond" w:hAnsi="Garamond"/>
          <w:i/>
          <w:sz w:val="28"/>
          <w:szCs w:val="28"/>
        </w:rPr>
        <w:t>Hołd Trzech Króli</w:t>
      </w:r>
      <w:r w:rsidRPr="00A65527">
        <w:rPr>
          <w:rFonts w:ascii="Garamond" w:hAnsi="Garamond"/>
          <w:sz w:val="28"/>
          <w:szCs w:val="28"/>
        </w:rPr>
        <w:t xml:space="preserve">, </w:t>
      </w:r>
      <w:r>
        <w:rPr>
          <w:rFonts w:ascii="Garamond" w:hAnsi="Garamond"/>
          <w:sz w:val="28"/>
          <w:szCs w:val="28"/>
        </w:rPr>
        <w:t xml:space="preserve">ok. 1504; można go porównać z oryginałem </w:t>
      </w:r>
      <w:r w:rsidRPr="00606D05">
        <w:rPr>
          <w:rFonts w:ascii="Garamond" w:hAnsi="Garamond"/>
          <w:sz w:val="28"/>
          <w:szCs w:val="28"/>
        </w:rPr>
        <w:t>Dürera</w:t>
      </w:r>
      <w:r>
        <w:rPr>
          <w:rFonts w:ascii="Garamond" w:hAnsi="Garamond"/>
          <w:sz w:val="28"/>
          <w:szCs w:val="28"/>
        </w:rPr>
        <w:t xml:space="preserve"> w drzeworycie oraz miedzioryt </w:t>
      </w:r>
      <w:r w:rsidRPr="00A65527">
        <w:rPr>
          <w:rFonts w:ascii="Garamond" w:hAnsi="Garamond"/>
          <w:sz w:val="28"/>
          <w:szCs w:val="28"/>
        </w:rPr>
        <w:t>Wacław</w:t>
      </w:r>
      <w:r>
        <w:rPr>
          <w:rFonts w:ascii="Garamond" w:hAnsi="Garamond"/>
          <w:sz w:val="28"/>
          <w:szCs w:val="28"/>
        </w:rPr>
        <w:t xml:space="preserve">a </w:t>
      </w:r>
      <w:r w:rsidR="008D1374">
        <w:rPr>
          <w:rFonts w:ascii="Garamond" w:hAnsi="Garamond"/>
          <w:sz w:val="28"/>
          <w:szCs w:val="28"/>
        </w:rPr>
        <w:br/>
      </w:r>
      <w:r>
        <w:rPr>
          <w:rFonts w:ascii="Garamond" w:hAnsi="Garamond"/>
          <w:sz w:val="28"/>
          <w:szCs w:val="28"/>
        </w:rPr>
        <w:t xml:space="preserve">z Ołomuńca, </w:t>
      </w:r>
      <w:r w:rsidRPr="00A65527">
        <w:rPr>
          <w:rFonts w:ascii="Garamond" w:hAnsi="Garamond"/>
          <w:i/>
          <w:sz w:val="28"/>
          <w:szCs w:val="28"/>
        </w:rPr>
        <w:t>Cztery czarownice</w:t>
      </w:r>
      <w:r w:rsidRPr="00A65527">
        <w:rPr>
          <w:rFonts w:ascii="Garamond" w:hAnsi="Garamond"/>
          <w:sz w:val="28"/>
          <w:szCs w:val="28"/>
        </w:rPr>
        <w:t>, po 1497</w:t>
      </w:r>
      <w:r>
        <w:rPr>
          <w:rFonts w:ascii="Garamond" w:hAnsi="Garamond"/>
          <w:sz w:val="28"/>
          <w:szCs w:val="28"/>
        </w:rPr>
        <w:t xml:space="preserve">, również można porównać z pierwowzorem. </w:t>
      </w:r>
    </w:p>
    <w:p w:rsidR="00640CD3" w:rsidRPr="00AB4C4C" w:rsidRDefault="00AB4C4C" w:rsidP="008D1374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W pierwszej z trzech gablot umieszczono drzeworyt </w:t>
      </w:r>
      <w:r w:rsidRPr="00A65527">
        <w:rPr>
          <w:rFonts w:ascii="Garamond" w:eastAsia="Times New Roman" w:hAnsi="Garamond" w:cs="Times New Roman"/>
          <w:i/>
          <w:iCs/>
          <w:sz w:val="28"/>
          <w:szCs w:val="28"/>
          <w:lang w:eastAsia="pl-PL"/>
        </w:rPr>
        <w:t>Ostatnia Wieczerza</w:t>
      </w:r>
      <w:r w:rsidRPr="00A65527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, z cyku </w:t>
      </w:r>
      <w:r w:rsidRPr="00A65527">
        <w:rPr>
          <w:rFonts w:ascii="Garamond" w:eastAsia="Times New Roman" w:hAnsi="Garamond" w:cs="Times New Roman"/>
          <w:i/>
          <w:sz w:val="28"/>
          <w:szCs w:val="28"/>
          <w:lang w:eastAsia="pl-PL"/>
        </w:rPr>
        <w:t>Duża Pasja</w:t>
      </w:r>
      <w:r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 (wydanie późne, 1511). W drugiej znajdziemy wydawnictwa z XIX i XX wieku, nawiązujące do dokonań </w:t>
      </w:r>
      <w:r w:rsidRPr="00606D05">
        <w:rPr>
          <w:rFonts w:ascii="Garamond" w:hAnsi="Garamond"/>
          <w:sz w:val="28"/>
          <w:szCs w:val="28"/>
        </w:rPr>
        <w:t>Dürera</w:t>
      </w:r>
      <w:r>
        <w:rPr>
          <w:rFonts w:ascii="Garamond" w:hAnsi="Garamond"/>
          <w:sz w:val="28"/>
          <w:szCs w:val="28"/>
        </w:rPr>
        <w:t xml:space="preserve">. Trzecia w całości poświęcona jest </w:t>
      </w:r>
      <w:r w:rsidR="00640CD3">
        <w:rPr>
          <w:rFonts w:ascii="Garamond" w:hAnsi="Garamond"/>
          <w:sz w:val="28"/>
          <w:szCs w:val="28"/>
        </w:rPr>
        <w:t xml:space="preserve">tece </w:t>
      </w:r>
      <w:r w:rsidR="008D1374">
        <w:rPr>
          <w:rFonts w:ascii="Garamond" w:hAnsi="Garamond"/>
          <w:sz w:val="28"/>
          <w:szCs w:val="28"/>
        </w:rPr>
        <w:br/>
      </w:r>
      <w:r w:rsidRPr="00AB4C4C">
        <w:rPr>
          <w:rFonts w:ascii="Garamond" w:hAnsi="Garamond"/>
          <w:sz w:val="28"/>
          <w:szCs w:val="28"/>
        </w:rPr>
        <w:t xml:space="preserve">z </w:t>
      </w:r>
      <w:r w:rsidR="00640CD3">
        <w:rPr>
          <w:rFonts w:ascii="Garamond" w:hAnsi="Garamond"/>
          <w:sz w:val="28"/>
          <w:szCs w:val="28"/>
        </w:rPr>
        <w:t>reprodukcjami</w:t>
      </w:r>
      <w:r w:rsidRPr="00AB4C4C">
        <w:rPr>
          <w:rFonts w:ascii="Garamond" w:hAnsi="Garamond"/>
          <w:sz w:val="28"/>
          <w:szCs w:val="28"/>
        </w:rPr>
        <w:t xml:space="preserve"> </w:t>
      </w:r>
      <w:r w:rsidRPr="00AB4C4C">
        <w:rPr>
          <w:rFonts w:ascii="Garamond" w:hAnsi="Garamond"/>
          <w:i/>
          <w:sz w:val="28"/>
          <w:szCs w:val="28"/>
        </w:rPr>
        <w:t xml:space="preserve">Rysunków Albrechta Dürera </w:t>
      </w:r>
      <w:r w:rsidRPr="00AB4C4C">
        <w:rPr>
          <w:rFonts w:ascii="Garamond" w:eastAsia="Times New Roman" w:hAnsi="Garamond" w:cs="Times New Roman"/>
          <w:i/>
          <w:sz w:val="28"/>
          <w:szCs w:val="28"/>
          <w:lang w:eastAsia="pl-PL"/>
        </w:rPr>
        <w:t>z Muzeum im. Lubomirskich we Lwowie</w:t>
      </w:r>
      <w:r w:rsidRPr="00AB4C4C">
        <w:rPr>
          <w:rFonts w:ascii="Garamond" w:eastAsia="Times New Roman" w:hAnsi="Garamond" w:cs="Times New Roman"/>
          <w:sz w:val="28"/>
          <w:szCs w:val="28"/>
          <w:lang w:eastAsia="pl-PL"/>
        </w:rPr>
        <w:t>, Lwów 1929</w:t>
      </w:r>
      <w:r w:rsidR="00640CD3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. Eksponujemy czternaście plansz. To jedyny ślad po </w:t>
      </w:r>
      <w:r w:rsidR="008D1374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rysunkach </w:t>
      </w:r>
      <w:r w:rsidR="008D1374" w:rsidRPr="00606D05">
        <w:rPr>
          <w:rFonts w:ascii="Garamond" w:hAnsi="Garamond"/>
          <w:sz w:val="28"/>
          <w:szCs w:val="28"/>
        </w:rPr>
        <w:t>Albrechta Dürera</w:t>
      </w:r>
      <w:r w:rsidR="008D1374">
        <w:rPr>
          <w:rFonts w:ascii="Garamond" w:hAnsi="Garamond"/>
          <w:sz w:val="28"/>
          <w:szCs w:val="28"/>
        </w:rPr>
        <w:t xml:space="preserve"> z </w:t>
      </w:r>
      <w:r w:rsidR="00640CD3">
        <w:rPr>
          <w:rFonts w:ascii="Garamond" w:eastAsia="Times New Roman" w:hAnsi="Garamond" w:cs="Times New Roman"/>
          <w:sz w:val="28"/>
          <w:szCs w:val="28"/>
          <w:lang w:eastAsia="pl-PL"/>
        </w:rPr>
        <w:t>lwowskiej kolekcji ks. Lubomirskich</w:t>
      </w:r>
      <w:r w:rsidR="00640CD3">
        <w:rPr>
          <w:rFonts w:ascii="Garamond" w:hAnsi="Garamond"/>
          <w:sz w:val="28"/>
          <w:szCs w:val="28"/>
        </w:rPr>
        <w:t xml:space="preserve">. Skradzione w czasie wojny, później odzyskane i sprzedane, rozproszone po świecie – do dziś budzą emocje i na razie bezskutecznie czekają </w:t>
      </w:r>
      <w:r w:rsidR="008D1374">
        <w:rPr>
          <w:rFonts w:ascii="Garamond" w:hAnsi="Garamond"/>
          <w:sz w:val="28"/>
          <w:szCs w:val="28"/>
        </w:rPr>
        <w:t xml:space="preserve">na scalenie w kolekcję, powrót prawowitego właściciela </w:t>
      </w:r>
      <w:r w:rsidR="008D1374">
        <w:rPr>
          <w:rFonts w:ascii="Garamond" w:hAnsi="Garamond"/>
          <w:sz w:val="28"/>
          <w:szCs w:val="28"/>
        </w:rPr>
        <w:br/>
        <w:t xml:space="preserve">i stałe miejsce ekspozycji. </w:t>
      </w:r>
    </w:p>
    <w:p w:rsidR="00543FF3" w:rsidRPr="00606D05" w:rsidRDefault="00543FF3" w:rsidP="008D1374">
      <w:pPr>
        <w:jc w:val="both"/>
        <w:rPr>
          <w:rFonts w:ascii="Garamond" w:hAnsi="Garamond"/>
          <w:sz w:val="28"/>
          <w:szCs w:val="28"/>
        </w:rPr>
      </w:pPr>
    </w:p>
    <w:sectPr w:rsidR="00543FF3" w:rsidRPr="00606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05"/>
    <w:rsid w:val="002411D3"/>
    <w:rsid w:val="00282F20"/>
    <w:rsid w:val="003D71A6"/>
    <w:rsid w:val="004B2A36"/>
    <w:rsid w:val="00507B10"/>
    <w:rsid w:val="00543FF3"/>
    <w:rsid w:val="00606D05"/>
    <w:rsid w:val="00640CD3"/>
    <w:rsid w:val="006953DC"/>
    <w:rsid w:val="006E6D2A"/>
    <w:rsid w:val="0082152F"/>
    <w:rsid w:val="008D1374"/>
    <w:rsid w:val="00977544"/>
    <w:rsid w:val="00AB4C4C"/>
    <w:rsid w:val="00B56638"/>
    <w:rsid w:val="00DB7B20"/>
    <w:rsid w:val="00E12F0A"/>
    <w:rsid w:val="00F00588"/>
    <w:rsid w:val="00F85448"/>
    <w:rsid w:val="00F9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5F198"/>
  <w15:chartTrackingRefBased/>
  <w15:docId w15:val="{ECE7F54D-1102-4D14-AAC6-55E8D20F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1A6"/>
    <w:pPr>
      <w:spacing w:line="276" w:lineRule="auto"/>
    </w:pPr>
    <w:rPr>
      <w:sz w:val="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1A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7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0588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1A6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71A6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85448"/>
    <w:rPr>
      <w:rFonts w:asciiTheme="majorHAnsi" w:eastAsiaTheme="majorEastAsia" w:hAnsiTheme="majorHAnsi" w:cstheme="majorBidi"/>
      <w:b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8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3D71A6"/>
    <w:pPr>
      <w:spacing w:after="0" w:line="276" w:lineRule="auto"/>
    </w:pPr>
    <w:rPr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00588"/>
    <w:rPr>
      <w:rFonts w:eastAsiaTheme="majorEastAsia" w:cstheme="majorBidi"/>
      <w:iCs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3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Kozak</dc:creator>
  <cp:keywords/>
  <dc:description/>
  <cp:lastModifiedBy>Cezary Kozak</cp:lastModifiedBy>
  <cp:revision>4</cp:revision>
  <cp:lastPrinted>2026-09-04T10:37:00Z</cp:lastPrinted>
  <dcterms:created xsi:type="dcterms:W3CDTF">2026-09-03T09:59:00Z</dcterms:created>
  <dcterms:modified xsi:type="dcterms:W3CDTF">2026-09-04T10:38:00Z</dcterms:modified>
</cp:coreProperties>
</file>